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0CEE6" w14:textId="77777777" w:rsidR="00202F34" w:rsidRPr="00DB195A" w:rsidRDefault="00D548DC" w:rsidP="00202F34">
      <w:pPr>
        <w:pStyle w:val="Otsikko2"/>
      </w:pPr>
      <w:bookmarkStart w:id="0" w:name="_Toc8288612"/>
      <w:r>
        <w:t>Vuoden 2035 hiilineutraaliustavoit</w:t>
      </w:r>
      <w:r w:rsidR="00E90CF4">
        <w:t xml:space="preserve">epolun varmistaminen ja hiilinegatiivisuuden saavuttaminen 2035 jälkeen </w:t>
      </w:r>
      <w:bookmarkEnd w:id="0"/>
    </w:p>
    <w:p w14:paraId="134E272C" w14:textId="77777777" w:rsidR="00202F34" w:rsidRDefault="00202F34" w:rsidP="00202F34">
      <w:pPr>
        <w:spacing w:after="0"/>
        <w:rPr>
          <w:b/>
          <w:bCs/>
        </w:rPr>
      </w:pPr>
    </w:p>
    <w:p w14:paraId="38417FC1" w14:textId="77777777" w:rsidR="003933F0" w:rsidRDefault="003933F0" w:rsidP="00202F34">
      <w:pPr>
        <w:spacing w:after="0"/>
        <w:rPr>
          <w:rFonts w:ascii="Calibri" w:hAnsi="Calibri" w:cs="Calibri"/>
          <w:b/>
        </w:rPr>
      </w:pPr>
      <w:r w:rsidRPr="003933F0">
        <w:rPr>
          <w:rFonts w:ascii="Calibri" w:hAnsi="Calibri" w:cs="Calibri"/>
          <w:b/>
        </w:rPr>
        <w:t>Luokittelu 1: perustelee virkanäkemystä</w:t>
      </w:r>
    </w:p>
    <w:p w14:paraId="43CECE81" w14:textId="77777777" w:rsidR="00E0497F" w:rsidRPr="003933F0" w:rsidRDefault="00E0497F" w:rsidP="00202F34">
      <w:pPr>
        <w:spacing w:after="0"/>
        <w:rPr>
          <w:b/>
          <w:bCs/>
        </w:rPr>
      </w:pPr>
    </w:p>
    <w:p w14:paraId="6FD4F7F6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5839950C" w14:textId="7DFE646A" w:rsidR="00202F34" w:rsidRDefault="00D548DC" w:rsidP="00202F34">
      <w:pPr>
        <w:pStyle w:val="Luettelokappale"/>
        <w:numPr>
          <w:ilvl w:val="0"/>
          <w:numId w:val="1"/>
        </w:numPr>
        <w:spacing w:after="0" w:line="240" w:lineRule="auto"/>
      </w:pPr>
      <w:r>
        <w:t>Suomi saavuttaa hiilineutraaliuden viimeistään vuonna 2035</w:t>
      </w:r>
      <w:r w:rsidR="005F4C66">
        <w:t xml:space="preserve"> ja hiilinegatiivisuuden tämän jälkeen</w:t>
      </w:r>
      <w:r>
        <w:t xml:space="preserve"> ilmastolain mukaisesti</w:t>
      </w:r>
      <w:r w:rsidR="00877175">
        <w:t xml:space="preserve">. </w:t>
      </w:r>
    </w:p>
    <w:p w14:paraId="3417D0CA" w14:textId="77777777" w:rsidR="00202F34" w:rsidRDefault="00877175" w:rsidP="001E55BC">
      <w:pPr>
        <w:pStyle w:val="Luettelokappale"/>
        <w:numPr>
          <w:ilvl w:val="1"/>
          <w:numId w:val="1"/>
        </w:numPr>
        <w:spacing w:after="0" w:line="240" w:lineRule="auto"/>
      </w:pPr>
      <w:r>
        <w:t xml:space="preserve">Hiilineutraaliustavoitteen saavuttamisen seurantaa tiivistetään ja vahvistetaan tarpeen mukaan ilmastotoimia tavoitteen saavuttamisen varmistamiseksi. </w:t>
      </w:r>
    </w:p>
    <w:p w14:paraId="10B1B0A6" w14:textId="0A529772" w:rsidR="001E55BC" w:rsidRDefault="00877175" w:rsidP="00E0497F">
      <w:pPr>
        <w:pStyle w:val="Luettelokappale"/>
        <w:numPr>
          <w:ilvl w:val="1"/>
          <w:numId w:val="1"/>
        </w:numPr>
        <w:spacing w:after="0" w:line="240" w:lineRule="auto"/>
      </w:pPr>
      <w:r>
        <w:t xml:space="preserve">Ilmastopolitiikan toimien valmistelu on jo käynnissä osana vuonna 2022 valmistuneiden ilmastosuunnitelmien toimeenpanoa. </w:t>
      </w:r>
    </w:p>
    <w:p w14:paraId="1D88A29E" w14:textId="2DBDFB86" w:rsidR="005F4C66" w:rsidRDefault="005F4C66" w:rsidP="00E0497F">
      <w:pPr>
        <w:pStyle w:val="Luettelokappale"/>
        <w:numPr>
          <w:ilvl w:val="1"/>
          <w:numId w:val="1"/>
        </w:numPr>
        <w:spacing w:after="0" w:line="240" w:lineRule="auto"/>
      </w:pPr>
      <w:r>
        <w:t>Ilmastotoimilla luodaan myös edellytykset hiilinegatiivisuuden saavuttamiselle kasvattamalla poi</w:t>
      </w:r>
      <w:r w:rsidR="00CA4AE9">
        <w:t>stumia ja ottaen huomioon ilmastolain päästövähennystavoitteet.</w:t>
      </w:r>
    </w:p>
    <w:p w14:paraId="2775118D" w14:textId="77777777" w:rsidR="00202F34" w:rsidRPr="00C70607" w:rsidRDefault="00202F34" w:rsidP="00C70607">
      <w:pPr>
        <w:spacing w:after="0"/>
        <w:rPr>
          <w:b/>
          <w:bCs/>
        </w:rPr>
      </w:pPr>
    </w:p>
    <w:p w14:paraId="512F2391" w14:textId="77777777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(YM:sä tai valtioneuvostossa)</w:t>
      </w:r>
    </w:p>
    <w:p w14:paraId="1874473F" w14:textId="462EB469" w:rsidR="00202F34" w:rsidRDefault="00877175" w:rsidP="00202F34">
      <w:pPr>
        <w:pStyle w:val="Luettelokappale"/>
        <w:numPr>
          <w:ilvl w:val="0"/>
          <w:numId w:val="1"/>
        </w:numPr>
        <w:spacing w:after="0" w:line="240" w:lineRule="auto"/>
      </w:pPr>
      <w:r>
        <w:t>Vuoden 2035 hiilineutraaliustavoite sisältyy ilmastolakiin. Käytännössä sen saavuttaminen tarkoittaa, että päästöt ja nielut saadaan tasapainoon viimeistään vuonna 2035. Ilmastopolitiikan suunnittelussa lähtökohtan</w:t>
      </w:r>
      <w:r w:rsidR="00114719">
        <w:t>a ja laskentaoletuksena on</w:t>
      </w:r>
      <w:r>
        <w:t xml:space="preserve"> että hiilineutraalius saavutetaan 21 Mt:n päästö- ja nielutasolla. Maankäyttösektorin uusimpien tietojen valossa</w:t>
      </w:r>
      <w:r w:rsidR="00323152">
        <w:t xml:space="preserve"> (Tilastokeskus 14.12.2022)</w:t>
      </w:r>
      <w:r>
        <w:t xml:space="preserve"> näyttää kuitenkin hyvin epävarmalta </w:t>
      </w:r>
      <w:r w:rsidR="00E97A12">
        <w:t>onko erityisesti nielujen pitäminen tällä tasolla mahdollista ilman uusia vaikuttavia toimia</w:t>
      </w:r>
      <w:r w:rsidR="00D31243">
        <w:t xml:space="preserve"> maankäyttösektorilla</w:t>
      </w:r>
      <w:r w:rsidR="00E97A12">
        <w:t xml:space="preserve">. Sen sijaan päästöjen vähentäminen </w:t>
      </w:r>
      <w:r w:rsidR="00430110">
        <w:t>on</w:t>
      </w:r>
      <w:r w:rsidR="00E97A12">
        <w:t xml:space="preserve"> tuoreimpi</w:t>
      </w:r>
      <w:r w:rsidR="00430110">
        <w:t>en tietojen perusteella edennyt</w:t>
      </w:r>
      <w:r w:rsidR="00E97A12">
        <w:t xml:space="preserve"> </w:t>
      </w:r>
      <w:r w:rsidR="00430110">
        <w:t xml:space="preserve">suunnilleen </w:t>
      </w:r>
      <w:r w:rsidR="00E97A12">
        <w:t>laadittujen skenaarioiden ja suunnitelmien mukaisesti. Myös päästökehityksen pitämiseen tarvittavalla uralla liittyy kuitenkin</w:t>
      </w:r>
      <w:r w:rsidR="009E0165">
        <w:t xml:space="preserve"> epävarmuutta esim. edellytyksenä olevien</w:t>
      </w:r>
      <w:r w:rsidR="00E97A12">
        <w:t xml:space="preserve"> investointien aikataulujen osalta. </w:t>
      </w:r>
      <w:r w:rsidR="00323152">
        <w:t xml:space="preserve">Päästökehitykseen liittyy myös uudenlaisia epävarmuustekijöitä johtuen käynnissä olevasta energiakriisistä. </w:t>
      </w:r>
      <w:r w:rsidR="00430110">
        <w:t xml:space="preserve">Päästövähennystoimien mitoitus on varsin niukka suhteessa sekä </w:t>
      </w:r>
      <w:r w:rsidR="0094167C">
        <w:t xml:space="preserve">kansallisen ilmastolain mukaiseen 2030 päästövähennystavoitteeseen että vuoden 2035 </w:t>
      </w:r>
      <w:r w:rsidR="00430110">
        <w:t xml:space="preserve"> hiilineutraaliustavoitteeseen. </w:t>
      </w:r>
    </w:p>
    <w:p w14:paraId="71C0C497" w14:textId="0E79B982" w:rsidR="00883A33" w:rsidRDefault="00883A33" w:rsidP="00883A33">
      <w:pPr>
        <w:pStyle w:val="Luettelokappale"/>
        <w:numPr>
          <w:ilvl w:val="0"/>
          <w:numId w:val="1"/>
        </w:numPr>
        <w:spacing w:after="0" w:line="240" w:lineRule="auto"/>
      </w:pPr>
      <w:r>
        <w:t>Teknisille nieluille ei ole tällä hetkellä selkeitä kannustimia EU-tasolla eikä tällaisia ole myös kansallisella tasolla. VN TEAS –hankkeessa ”</w:t>
      </w:r>
      <w:r w:rsidRPr="00883A33">
        <w:t>Talteen otetun hiilidioksidin hyödyntäminen, varastointi ja poistoratkaisut</w:t>
      </w:r>
      <w:r>
        <w:t xml:space="preserve">” on tunnistettu </w:t>
      </w:r>
      <w:r w:rsidRPr="00883A33">
        <w:t xml:space="preserve">useita mahdollisia ohjauskeinoja, joilla Suomi voisi vauhdittaa hiilidioksidin käytön ja poiston ratkaisuja. Politiikkasuosituksina esitetään </w:t>
      </w:r>
      <w:r>
        <w:t xml:space="preserve">muun muassa </w:t>
      </w:r>
      <w:r w:rsidRPr="00883A33">
        <w:t>hiilidioksidin poistotavoitteiden kirjaamista ilmastolakiin sekä pyöreän pöydän perustamista tuomaan yhteen alan to</w:t>
      </w:r>
      <w:r>
        <w:t xml:space="preserve">imijoita. </w:t>
      </w:r>
      <w:r w:rsidRPr="00883A33">
        <w:t>Lisäksi suositellaan selvitystä taloudellisista kannustimista edistää hiilidioksidin poiston käyttöönottoa.</w:t>
      </w:r>
    </w:p>
    <w:p w14:paraId="3FDDFFFF" w14:textId="1339961F" w:rsidR="00871EB9" w:rsidRDefault="00871EB9" w:rsidP="00871EB9">
      <w:pPr>
        <w:pStyle w:val="Luettelokappale"/>
        <w:numPr>
          <w:ilvl w:val="0"/>
          <w:numId w:val="1"/>
        </w:numPr>
        <w:spacing w:after="0" w:line="240" w:lineRule="auto"/>
      </w:pPr>
    </w:p>
    <w:p w14:paraId="42B2B7BF" w14:textId="77777777" w:rsidR="00871EB9" w:rsidRDefault="00871EB9" w:rsidP="00303607">
      <w:pPr>
        <w:pStyle w:val="Luettelokappale"/>
        <w:numPr>
          <w:ilvl w:val="0"/>
          <w:numId w:val="1"/>
        </w:numPr>
        <w:spacing w:after="0" w:line="240" w:lineRule="auto"/>
      </w:pPr>
      <w:r>
        <w:t>HO- nosto: Vapaaehtoiset ilmastotoimet ja päästökompensaatiot</w:t>
      </w:r>
    </w:p>
    <w:p w14:paraId="5D3FF99E" w14:textId="77777777" w:rsidR="00202F34" w:rsidRDefault="00202F34" w:rsidP="00202F34">
      <w:pPr>
        <w:pStyle w:val="Luettelokappale"/>
        <w:spacing w:after="0" w:line="240" w:lineRule="auto"/>
      </w:pPr>
    </w:p>
    <w:p w14:paraId="7A581D6D" w14:textId="77777777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216DE88B" w14:textId="77777777" w:rsidR="006F505D" w:rsidRDefault="006F505D" w:rsidP="006F505D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Hiilineutraaliustavoitteen saavuttamisen varmistamiseksi saatetaan tarvita nopeasti vaikuttavia ohjauskeinoja. Taloudellinen ohjaus ja esim. energiaverotus voi tarjota varsin nopeasti käyttöön otetavia keinoja puuttua päästö- ja nielukehitykseen.  Ilmastopolitiikan taloudelliseen ohjauksen kehittämiseen on syytä panostaa jatkossa myös tavoitteiden saavuttamisen kustannustehokkuuden varmistamiseksi. </w:t>
      </w:r>
    </w:p>
    <w:p w14:paraId="107EDF69" w14:textId="77777777" w:rsidR="006F505D" w:rsidRDefault="006F505D" w:rsidP="006F505D">
      <w:pPr>
        <w:pStyle w:val="Luettelokappale"/>
        <w:numPr>
          <w:ilvl w:val="0"/>
          <w:numId w:val="1"/>
        </w:numPr>
        <w:spacing w:after="0" w:line="240" w:lineRule="auto"/>
      </w:pPr>
      <w:r>
        <w:t>Ilmastopolitiikan varautumista on kehitettävä siten että uusien tehokkaiden toimien valmistelu voi käynnistyä lyhyellä varoitusajalla.  Varautumista ja reagointia tarvitaan erityisesti tilanteessa jossa hiilineutraaliustavoitteen saavuttamisen epävarmuus kasvaa.</w:t>
      </w:r>
      <w:r w:rsidR="00B9686D">
        <w:t xml:space="preserve"> Ilmastopolitiikan </w:t>
      </w:r>
      <w:r w:rsidR="00114719">
        <w:t xml:space="preserve">seurannan </w:t>
      </w:r>
      <w:r w:rsidR="00B9686D">
        <w:t xml:space="preserve">keskeisenä työkaluna käytetään ilmastovuosikertomusta. </w:t>
      </w:r>
    </w:p>
    <w:p w14:paraId="6E4D7A7C" w14:textId="77777777" w:rsidR="00323152" w:rsidRDefault="00323152" w:rsidP="006F505D">
      <w:pPr>
        <w:pStyle w:val="Luettelokappale"/>
        <w:numPr>
          <w:ilvl w:val="0"/>
          <w:numId w:val="1"/>
        </w:numPr>
        <w:spacing w:after="0" w:line="240" w:lineRule="auto"/>
      </w:pPr>
      <w:r>
        <w:lastRenderedPageBreak/>
        <w:t xml:space="preserve">Ilmastopolitiikan </w:t>
      </w:r>
      <w:r w:rsidR="00B9686D">
        <w:t xml:space="preserve">aiheuttamien </w:t>
      </w:r>
      <w:r>
        <w:t>kustannusten mahdollisessa kompensoinnissa on huolehdittava siitä</w:t>
      </w:r>
      <w:r w:rsidR="00B9686D">
        <w:t>,</w:t>
      </w:r>
      <w:r>
        <w:t xml:space="preserve"> </w:t>
      </w:r>
      <w:r w:rsidR="006707EF">
        <w:t xml:space="preserve">että kompensointi on </w:t>
      </w:r>
      <w:r w:rsidR="00F901F0">
        <w:t>rajattu</w:t>
      </w:r>
      <w:r w:rsidR="006707EF">
        <w:t xml:space="preserve"> ja kohdennettu</w:t>
      </w:r>
      <w:r w:rsidR="00F901F0">
        <w:t xml:space="preserve"> siten, </w:t>
      </w:r>
      <w:r>
        <w:t xml:space="preserve">ettei </w:t>
      </w:r>
      <w:r w:rsidR="00F901F0">
        <w:t xml:space="preserve">tarkoituksettomasti </w:t>
      </w:r>
      <w:r w:rsidR="00B9686D">
        <w:t xml:space="preserve">heikennetä päästövähennystoimien vaikuttavuutta. </w:t>
      </w:r>
    </w:p>
    <w:p w14:paraId="1A4FA1E7" w14:textId="64403BA9" w:rsidR="00CA4AE9" w:rsidRDefault="00883A33" w:rsidP="00CA4AE9">
      <w:pPr>
        <w:pStyle w:val="Luettelokappale"/>
        <w:numPr>
          <w:ilvl w:val="0"/>
          <w:numId w:val="1"/>
        </w:numPr>
        <w:spacing w:after="0" w:line="240" w:lineRule="auto"/>
      </w:pPr>
      <w:r>
        <w:t>On tarve selvittää</w:t>
      </w:r>
      <w:r w:rsidR="00CA4AE9">
        <w:t xml:space="preserve"> ns. teknisten nielujen vauhdittamiseen tarvittavia kannustimia.  </w:t>
      </w:r>
      <w:r>
        <w:t>O</w:t>
      </w:r>
      <w:r w:rsidR="00CA4AE9">
        <w:t xml:space="preserve">sana selvitystä </w:t>
      </w:r>
      <w:r>
        <w:t xml:space="preserve">arvioidaan </w:t>
      </w:r>
      <w:r w:rsidR="00CA4AE9">
        <w:t>teknisten nielujen roolia hiilinegatiivisuuden saavuttamisessa sekä tavoitteen asettamista teknisille nieluille vuodelle 2035.  Selvitetään erityyppisten teknisten nielujen vauhdittamisessa tarvittavat toimet ja kannustimet laajapohjaisessa yhteistyössä.</w:t>
      </w:r>
    </w:p>
    <w:p w14:paraId="78C55D4E" w14:textId="77777777" w:rsidR="00871EB9" w:rsidRDefault="00871EB9" w:rsidP="00871EB9">
      <w:pPr>
        <w:pStyle w:val="Luettelokappale"/>
        <w:numPr>
          <w:ilvl w:val="0"/>
          <w:numId w:val="1"/>
        </w:numPr>
        <w:spacing w:after="0" w:line="240" w:lineRule="auto"/>
      </w:pPr>
      <w:r>
        <w:t>Tunnistetaan tarpeet vaikuttaa EU-tason kehikkoon ja tehdään vaikuttamistyötä yhteistyössä muiden samanmielisten maiden kanssa.</w:t>
      </w:r>
    </w:p>
    <w:p w14:paraId="469975DE" w14:textId="77777777" w:rsidR="006F505D" w:rsidRDefault="006F505D" w:rsidP="006F505D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Maankäyttösektorin toimien vahvistamisesta on laadittu erillinen muistio. </w:t>
      </w:r>
    </w:p>
    <w:p w14:paraId="084B9B4C" w14:textId="77777777" w:rsidR="006F505D" w:rsidRDefault="006F505D" w:rsidP="006F505D">
      <w:pPr>
        <w:pStyle w:val="Luettelokappale"/>
        <w:spacing w:after="0" w:line="240" w:lineRule="auto"/>
        <w:ind w:left="1440"/>
      </w:pPr>
    </w:p>
    <w:p w14:paraId="57915753" w14:textId="77777777" w:rsidR="001E55BC" w:rsidRPr="001E55BC" w:rsidRDefault="001E55BC" w:rsidP="001E55BC">
      <w:pPr>
        <w:pStyle w:val="Luettelokappale"/>
        <w:spacing w:after="0" w:line="240" w:lineRule="auto"/>
      </w:pPr>
    </w:p>
    <w:p w14:paraId="7DCFE523" w14:textId="77777777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jne)</w:t>
      </w:r>
    </w:p>
    <w:p w14:paraId="2B9675B0" w14:textId="77777777" w:rsidR="00B9686D" w:rsidRDefault="00B9686D" w:rsidP="00202F34">
      <w:pPr>
        <w:pStyle w:val="Luettelokappale"/>
        <w:numPr>
          <w:ilvl w:val="0"/>
          <w:numId w:val="2"/>
        </w:numPr>
        <w:spacing w:after="0" w:line="240" w:lineRule="auto"/>
      </w:pPr>
      <w:r>
        <w:t>Osana uusien toimien valmistelua on selvitettävä niiden vaikutukset huolellisesti ja monipuolisesti. On tärkeätä huolehtia siitä</w:t>
      </w:r>
      <w:r w:rsidR="00D31243">
        <w:t>,</w:t>
      </w:r>
      <w:r>
        <w:t xml:space="preserve"> ettei mikään ryhmä joudu kantamaan kohtuutonta taakkaa toimeenpantavan ilmasto- ja energiapolitiikan seurauksena.</w:t>
      </w:r>
    </w:p>
    <w:p w14:paraId="462DB216" w14:textId="77777777" w:rsidR="00B9686D" w:rsidRDefault="00980601" w:rsidP="00202F34">
      <w:pPr>
        <w:pStyle w:val="Luettelokappale"/>
        <w:numPr>
          <w:ilvl w:val="0"/>
          <w:numId w:val="2"/>
        </w:numPr>
        <w:spacing w:after="0" w:line="240" w:lineRule="auto"/>
      </w:pPr>
      <w:r>
        <w:t>V</w:t>
      </w:r>
      <w:r w:rsidR="00B9686D">
        <w:t xml:space="preserve">aikutusten arvioinnissa kiinnitetään </w:t>
      </w:r>
      <w:r w:rsidR="002530F3">
        <w:t xml:space="preserve">päästövähennysvaikutusten lisäksi </w:t>
      </w:r>
      <w:r w:rsidR="00B9686D">
        <w:t>erityistä huomiota ilmastopolitiikan vaikutuks</w:t>
      </w:r>
      <w:r>
        <w:t>iin luontokado</w:t>
      </w:r>
      <w:r w:rsidR="00B9686D">
        <w:t xml:space="preserve">n ja saastumisen vähentämiseen.  </w:t>
      </w:r>
      <w:r>
        <w:t xml:space="preserve">Pyrkimyksenä on synergioiden löytäminen näiden tavoitteiden kesken. </w:t>
      </w:r>
    </w:p>
    <w:p w14:paraId="6215C4F7" w14:textId="77777777" w:rsidR="00202F34" w:rsidRDefault="00202F34" w:rsidP="00202F34">
      <w:pPr>
        <w:spacing w:after="0"/>
        <w:rPr>
          <w:b/>
          <w:bCs/>
        </w:rPr>
      </w:pPr>
    </w:p>
    <w:p w14:paraId="783222CD" w14:textId="77777777" w:rsidR="00202F34" w:rsidRDefault="00202F34" w:rsidP="00202F34">
      <w:pPr>
        <w:spacing w:after="0"/>
        <w:rPr>
          <w:b/>
          <w:bCs/>
        </w:rPr>
      </w:pPr>
      <w:r>
        <w:rPr>
          <w:b/>
          <w:bCs/>
        </w:rPr>
        <w:t xml:space="preserve">4. Voimavara- ja muut </w:t>
      </w:r>
      <w:r w:rsidR="001E55BC">
        <w:rPr>
          <w:b/>
          <w:bCs/>
        </w:rPr>
        <w:t>tarpeet</w:t>
      </w:r>
    </w:p>
    <w:p w14:paraId="354E455C" w14:textId="41A49EA1" w:rsidR="00753EF0" w:rsidRDefault="00871EB9" w:rsidP="00B13A71">
      <w:pPr>
        <w:pStyle w:val="Luettelokappale"/>
        <w:numPr>
          <w:ilvl w:val="0"/>
          <w:numId w:val="7"/>
        </w:numPr>
        <w:spacing w:after="0"/>
        <w:rPr>
          <w:bCs/>
        </w:rPr>
      </w:pPr>
      <w:r>
        <w:rPr>
          <w:bCs/>
        </w:rPr>
        <w:t xml:space="preserve">Laaja-alainen </w:t>
      </w:r>
      <w:r w:rsidR="00753EF0">
        <w:rPr>
          <w:bCs/>
        </w:rPr>
        <w:t>VN TEAS –hanke</w:t>
      </w:r>
    </w:p>
    <w:p w14:paraId="63665DB4" w14:textId="6C1AB150" w:rsidR="00B13A71" w:rsidRPr="00B13A71" w:rsidRDefault="00B13A71" w:rsidP="00B13A71">
      <w:pPr>
        <w:spacing w:after="0"/>
        <w:rPr>
          <w:bCs/>
        </w:rPr>
      </w:pPr>
      <w:bookmarkStart w:id="1" w:name="_GoBack"/>
      <w:bookmarkEnd w:id="1"/>
    </w:p>
    <w:sectPr w:rsidR="00B13A71" w:rsidRPr="00B13A71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F82C9" w14:textId="77777777" w:rsidR="00CC4615" w:rsidRDefault="00CC4615" w:rsidP="00CC4615">
      <w:pPr>
        <w:spacing w:after="0" w:line="240" w:lineRule="auto"/>
      </w:pPr>
      <w:r>
        <w:separator/>
      </w:r>
    </w:p>
  </w:endnote>
  <w:endnote w:type="continuationSeparator" w:id="0">
    <w:p w14:paraId="517AF4A0" w14:textId="77777777" w:rsidR="00CC4615" w:rsidRDefault="00CC4615" w:rsidP="00CC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04673" w14:textId="77777777" w:rsidR="00CC4615" w:rsidRDefault="00CC4615" w:rsidP="00CC4615">
      <w:pPr>
        <w:spacing w:after="0" w:line="240" w:lineRule="auto"/>
      </w:pPr>
      <w:r>
        <w:separator/>
      </w:r>
    </w:p>
  </w:footnote>
  <w:footnote w:type="continuationSeparator" w:id="0">
    <w:p w14:paraId="1B7EE877" w14:textId="77777777" w:rsidR="00CC4615" w:rsidRDefault="00CC4615" w:rsidP="00CC4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243C4" w14:textId="77777777" w:rsidR="00CC4615" w:rsidRPr="00503A2B" w:rsidRDefault="00CC4615" w:rsidP="00CC4615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202E5633" w14:textId="77777777" w:rsidR="00CC4615" w:rsidRDefault="00CC4615" w:rsidP="00CC4615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0A9BAD75" w14:textId="77777777" w:rsidR="00CC4615" w:rsidRDefault="00CC4615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16DDB"/>
    <w:multiLevelType w:val="hybridMultilevel"/>
    <w:tmpl w:val="7EF044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114719"/>
    <w:rsid w:val="00155770"/>
    <w:rsid w:val="001E2C3F"/>
    <w:rsid w:val="001E55BC"/>
    <w:rsid w:val="00202F34"/>
    <w:rsid w:val="002530F3"/>
    <w:rsid w:val="002E6CC3"/>
    <w:rsid w:val="00323152"/>
    <w:rsid w:val="003933F0"/>
    <w:rsid w:val="00430110"/>
    <w:rsid w:val="0046643E"/>
    <w:rsid w:val="0051652D"/>
    <w:rsid w:val="00552586"/>
    <w:rsid w:val="005F4C66"/>
    <w:rsid w:val="006707EF"/>
    <w:rsid w:val="00687628"/>
    <w:rsid w:val="006F505D"/>
    <w:rsid w:val="00753EF0"/>
    <w:rsid w:val="007E3E85"/>
    <w:rsid w:val="007E7E24"/>
    <w:rsid w:val="00816F33"/>
    <w:rsid w:val="008307E1"/>
    <w:rsid w:val="00871EB9"/>
    <w:rsid w:val="00877175"/>
    <w:rsid w:val="00883A33"/>
    <w:rsid w:val="0094167C"/>
    <w:rsid w:val="00980601"/>
    <w:rsid w:val="009E0165"/>
    <w:rsid w:val="00A6650F"/>
    <w:rsid w:val="00B13A71"/>
    <w:rsid w:val="00B9686D"/>
    <w:rsid w:val="00C70607"/>
    <w:rsid w:val="00C73F3C"/>
    <w:rsid w:val="00CA4AE9"/>
    <w:rsid w:val="00CC4615"/>
    <w:rsid w:val="00CD6EDB"/>
    <w:rsid w:val="00D31033"/>
    <w:rsid w:val="00D31243"/>
    <w:rsid w:val="00D548DC"/>
    <w:rsid w:val="00DF6A7B"/>
    <w:rsid w:val="00E0497F"/>
    <w:rsid w:val="00E0774A"/>
    <w:rsid w:val="00E90CF4"/>
    <w:rsid w:val="00E97A12"/>
    <w:rsid w:val="00F9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729A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Seliteteksti">
    <w:name w:val="Balloon Text"/>
    <w:basedOn w:val="Normaali"/>
    <w:link w:val="SelitetekstiChar"/>
    <w:uiPriority w:val="99"/>
    <w:semiHidden/>
    <w:unhideWhenUsed/>
    <w:rsid w:val="00D54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548DC"/>
    <w:rPr>
      <w:rFonts w:ascii="Segoe UI" w:hAnsi="Segoe UI" w:cs="Segoe UI"/>
      <w:sz w:val="18"/>
      <w:szCs w:val="18"/>
    </w:rPr>
  </w:style>
  <w:style w:type="character" w:styleId="Kommentinviite">
    <w:name w:val="annotation reference"/>
    <w:basedOn w:val="Kappaleenoletusfontti"/>
    <w:uiPriority w:val="99"/>
    <w:semiHidden/>
    <w:unhideWhenUsed/>
    <w:rsid w:val="00D31243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D31243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D31243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D31243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D31243"/>
    <w:rPr>
      <w:b/>
      <w:bCs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CC4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C4615"/>
  </w:style>
  <w:style w:type="paragraph" w:styleId="Alatunniste">
    <w:name w:val="footer"/>
    <w:basedOn w:val="Normaali"/>
    <w:link w:val="AlatunnisteChar"/>
    <w:uiPriority w:val="99"/>
    <w:unhideWhenUsed/>
    <w:rsid w:val="00CC4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C4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180B2-EA7B-4C76-AE98-87C4DF2C4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958996-57AD-4F37-8840-2D8191D19E3C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c138b538-c2fd-4cca-8c26-6e4e32e5a04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96D94B-573C-41C3-93FE-FBEB1566106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F80FDD9-6483-466A-9ED5-3DCC438FA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2.2.1 Hiilineutraalius ja hiilinegatiivisuus</vt:lpstr>
    </vt:vector>
  </TitlesOfParts>
  <Company>Suomen valtion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2.2.1 Hiilineutraalius ja hiilinegatiivisuus</dc:title>
  <dc:subject/>
  <dc:creator>Juho Korpi</dc:creator>
  <cp:keywords/>
  <dc:description/>
  <cp:lastModifiedBy>Korpi Juho (YM)</cp:lastModifiedBy>
  <cp:revision>4</cp:revision>
  <cp:lastPrinted>2022-12-13T11:18:00Z</cp:lastPrinted>
  <dcterms:created xsi:type="dcterms:W3CDTF">2023-04-20T19:23:00Z</dcterms:created>
  <dcterms:modified xsi:type="dcterms:W3CDTF">2023-04-25T13:50:00Z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